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52"/>
          <w:szCs w:val="52"/>
        </w:rPr>
      </w:pPr>
      <w:r w:rsidDel="00000000" w:rsidR="00000000" w:rsidRPr="00000000">
        <w:rPr>
          <w:sz w:val="52"/>
          <w:szCs w:val="52"/>
          <w:rtl w:val="0"/>
        </w:rPr>
        <w:t xml:space="preserve">Jillian River Browy</w:t>
      </w:r>
    </w:p>
    <w:tbl>
      <w:tblPr>
        <w:tblStyle w:val="Table1"/>
        <w:tblW w:w="12600.0" w:type="dxa"/>
        <w:jc w:val="left"/>
        <w:tblInd w:w="-117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620"/>
      </w:tblPr>
      <w:tblGrid>
        <w:gridCol w:w="12600"/>
        <w:tblGridChange w:id="0">
          <w:tblGrid>
            <w:gridCol w:w="12600"/>
          </w:tblGrid>
        </w:tblGridChange>
      </w:tblGrid>
      <w:tr>
        <w:trPr>
          <w:trHeight w:val="420" w:hRule="atLeast"/>
        </w:trPr>
        <w:tc>
          <w:tcPr>
            <w:vAlign w:val="bottom"/>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990" w:right="576" w:firstLine="0"/>
              <w:jc w:val="left"/>
              <w:rPr>
                <w:rFonts w:ascii="Calibri" w:cs="Calibri" w:eastAsia="Calibri" w:hAnsi="Calibri"/>
                <w:b w:val="0"/>
                <w:i w:val="0"/>
                <w:smallCaps w:val="0"/>
                <w:strike w:val="0"/>
                <w:color w:val="595959"/>
                <w:sz w:val="21"/>
                <w:szCs w:val="21"/>
                <w:u w:val="none"/>
                <w:shd w:fill="auto" w:val="clear"/>
                <w:vertAlign w:val="baseline"/>
              </w:rPr>
            </w:pPr>
            <w:r w:rsidDel="00000000" w:rsidR="00000000" w:rsidRPr="00000000">
              <w:rPr>
                <w:rFonts w:ascii="Calibri" w:cs="Calibri" w:eastAsia="Calibri" w:hAnsi="Calibri"/>
                <w:b w:val="0"/>
                <w:i w:val="0"/>
                <w:smallCaps w:val="0"/>
                <w:strike w:val="0"/>
                <w:color w:val="595959"/>
                <w:sz w:val="21"/>
                <w:szCs w:val="21"/>
                <w:u w:val="none"/>
                <w:shd w:fill="auto" w:val="clear"/>
                <w:vertAlign w:val="baseline"/>
                <w:rtl w:val="0"/>
              </w:rPr>
              <w:t xml:space="preserve"> 4655 N. Concord Ave, Portland, OR, 97211 | 503.548.8047 | </w:t>
            </w:r>
            <w:hyperlink r:id="rId6">
              <w:r w:rsidDel="00000000" w:rsidR="00000000" w:rsidRPr="00000000">
                <w:rPr>
                  <w:rFonts w:ascii="Calibri" w:cs="Calibri" w:eastAsia="Calibri" w:hAnsi="Calibri"/>
                  <w:b w:val="0"/>
                  <w:i w:val="0"/>
                  <w:smallCaps w:val="0"/>
                  <w:strike w:val="0"/>
                  <w:color w:val="1155cc"/>
                  <w:sz w:val="21"/>
                  <w:szCs w:val="21"/>
                  <w:u w:val="single"/>
                  <w:shd w:fill="auto" w:val="clear"/>
                  <w:vertAlign w:val="baseline"/>
                  <w:rtl w:val="0"/>
                </w:rPr>
                <w:t xml:space="preserve">jilbrowy@pdx.edu</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990" w:right="576" w:firstLine="0"/>
              <w:jc w:val="left"/>
              <w:rPr>
                <w:i w:val="1"/>
                <w:color w:val="595959"/>
                <w:sz w:val="21"/>
                <w:szCs w:val="21"/>
              </w:rPr>
            </w:pPr>
            <w:r w:rsidDel="00000000" w:rsidR="00000000" w:rsidRPr="00000000">
              <w:rPr>
                <w:i w:val="1"/>
                <w:color w:val="595959"/>
                <w:sz w:val="21"/>
                <w:szCs w:val="21"/>
                <w:rtl w:val="0"/>
              </w:rPr>
              <w:t xml:space="preserve">I am a recently accepted graduate student in the field of Speech-Language Pathology. I am highly motivated, with strong skills in time-management, design, working with spreadsheets, and working collaboratively with peers. My interests lie in bilingual medical SLP, transgender voice, and bilingual and multilingual language learning. I am interested in working in labs or research in any of these areas. </w:t>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rPr>
          <w:sz w:val="24"/>
          <w:szCs w:val="24"/>
        </w:rPr>
      </w:pPr>
      <w:r w:rsidDel="00000000" w:rsidR="00000000" w:rsidRPr="00000000">
        <w:rPr>
          <w:sz w:val="24"/>
          <w:szCs w:val="24"/>
          <w:rtl w:val="0"/>
        </w:rPr>
        <w:t xml:space="preserve">Education</w:t>
      </w:r>
    </w:p>
    <w:tbl>
      <w:tblPr>
        <w:tblStyle w:val="Table2"/>
        <w:tblW w:w="12499.0" w:type="dxa"/>
        <w:jc w:val="left"/>
        <w:tblInd w:w="-108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620"/>
      </w:tblPr>
      <w:tblGrid>
        <w:gridCol w:w="12499"/>
        <w:tblGridChange w:id="0">
          <w:tblGrid>
            <w:gridCol w:w="12499"/>
          </w:tblGrid>
        </w:tblGridChange>
      </w:tblGrid>
      <w:tr>
        <w:tc>
          <w:tcPr/>
          <w:p w:rsidR="00000000" w:rsidDel="00000000" w:rsidP="00000000" w:rsidRDefault="00000000" w:rsidRPr="00000000" w14:paraId="00000006">
            <w:pPr>
              <w:ind w:left="1080" w:hanging="180"/>
              <w:rPr>
                <w:i w:val="1"/>
                <w:sz w:val="20"/>
                <w:szCs w:val="20"/>
              </w:rPr>
            </w:pPr>
            <w:r w:rsidDel="00000000" w:rsidR="00000000" w:rsidRPr="00000000">
              <w:rPr>
                <w:sz w:val="24"/>
                <w:szCs w:val="24"/>
                <w:rtl w:val="0"/>
              </w:rPr>
              <w:t xml:space="preserve">Portland State University, 2018-2020, Speech &amp; Hearing Sciences Post-Baccalaureate</w:t>
            </w:r>
            <w:r w:rsidDel="00000000" w:rsidR="00000000" w:rsidRPr="00000000">
              <w:rPr>
                <w:rtl w:val="0"/>
              </w:rPr>
              <w:t xml:space="preserve">, Current </w:t>
            </w:r>
            <w:r w:rsidDel="00000000" w:rsidR="00000000" w:rsidRPr="00000000">
              <w:rPr>
                <w:sz w:val="20"/>
                <w:szCs w:val="20"/>
                <w:rtl w:val="0"/>
              </w:rPr>
              <w:t xml:space="preserve">GPA 4.0           </w:t>
            </w:r>
            <w:r w:rsidDel="00000000" w:rsidR="00000000" w:rsidRPr="00000000">
              <w:rPr>
                <w:rtl w:val="0"/>
              </w:rPr>
            </w:r>
          </w:p>
        </w:tc>
      </w:tr>
      <w:tr>
        <w:tc>
          <w:tcPr>
            <w:tcBorders>
              <w:bottom w:color="ffffff" w:space="0" w:sz="24" w:val="single"/>
              <w:right w:color="ffffff" w:space="0" w:sz="24" w:val="single"/>
            </w:tcBorders>
          </w:tcPr>
          <w:p w:rsidR="00000000" w:rsidDel="00000000" w:rsidP="00000000" w:rsidRDefault="00000000" w:rsidRPr="00000000" w14:paraId="00000007">
            <w:pPr>
              <w:ind w:left="1080" w:hanging="180"/>
              <w:rPr>
                <w:sz w:val="20"/>
                <w:szCs w:val="20"/>
              </w:rPr>
            </w:pPr>
            <w:r w:rsidDel="00000000" w:rsidR="00000000" w:rsidRPr="00000000">
              <w:rPr>
                <w:sz w:val="24"/>
                <w:szCs w:val="24"/>
                <w:rtl w:val="0"/>
              </w:rPr>
              <w:t xml:space="preserve">University of California Santa Cruz, 2009-2011, B.A. Anthropology, Linguistics (Minor), Education (Minor</w:t>
            </w:r>
            <w:r w:rsidDel="00000000" w:rsidR="00000000" w:rsidRPr="00000000">
              <w:rPr>
                <w:rtl w:val="0"/>
              </w:rPr>
              <w:t xml:space="preserve">), </w:t>
            </w:r>
            <w:r w:rsidDel="00000000" w:rsidR="00000000" w:rsidRPr="00000000">
              <w:rPr>
                <w:sz w:val="20"/>
                <w:szCs w:val="20"/>
                <w:rtl w:val="0"/>
              </w:rPr>
              <w:t xml:space="preserve">GPA 3.63</w:t>
            </w:r>
          </w:p>
          <w:p w:rsidR="00000000" w:rsidDel="00000000" w:rsidP="00000000" w:rsidRDefault="00000000" w:rsidRPr="00000000" w14:paraId="00000008">
            <w:pPr>
              <w:ind w:left="1080" w:hanging="180"/>
              <w:rPr>
                <w:sz w:val="20"/>
                <w:szCs w:val="20"/>
              </w:rPr>
            </w:pPr>
            <w:r w:rsidDel="00000000" w:rsidR="00000000" w:rsidRPr="00000000">
              <w:rPr>
                <w:rtl w:val="0"/>
              </w:rPr>
            </w:r>
          </w:p>
        </w:tc>
      </w:tr>
    </w:tbl>
    <w:p w:rsidR="00000000" w:rsidDel="00000000" w:rsidP="00000000" w:rsidRDefault="00000000" w:rsidRPr="00000000" w14:paraId="00000009">
      <w:pPr>
        <w:pStyle w:val="Heading1"/>
        <w:rPr>
          <w:sz w:val="24"/>
          <w:szCs w:val="24"/>
        </w:rPr>
      </w:pPr>
      <w:r w:rsidDel="00000000" w:rsidR="00000000" w:rsidRPr="00000000">
        <w:rPr>
          <w:sz w:val="24"/>
          <w:szCs w:val="24"/>
          <w:rtl w:val="0"/>
        </w:rPr>
        <w:t xml:space="preserve">Skills</w:t>
      </w:r>
    </w:p>
    <w:tbl>
      <w:tblPr>
        <w:tblStyle w:val="Table3"/>
        <w:tblW w:w="12499.0" w:type="dxa"/>
        <w:jc w:val="left"/>
        <w:tblInd w:w="-108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20"/>
      </w:tblPr>
      <w:tblGrid>
        <w:gridCol w:w="12499"/>
        <w:tblGridChange w:id="0">
          <w:tblGrid>
            <w:gridCol w:w="12499"/>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ind w:left="1080" w:hanging="180"/>
              <w:rPr>
                <w:sz w:val="24"/>
                <w:szCs w:val="24"/>
              </w:rPr>
            </w:pPr>
            <w:r w:rsidDel="00000000" w:rsidR="00000000" w:rsidRPr="00000000">
              <w:rPr>
                <w:sz w:val="24"/>
                <w:szCs w:val="24"/>
                <w:rtl w:val="0"/>
              </w:rPr>
              <w:t xml:space="preserve">Research: </w:t>
            </w:r>
            <w:r w:rsidDel="00000000" w:rsidR="00000000" w:rsidRPr="00000000">
              <w:rPr>
                <w:color w:val="404040"/>
                <w:sz w:val="24"/>
                <w:szCs w:val="24"/>
                <w:rtl w:val="0"/>
              </w:rPr>
              <w:t xml:space="preserve">Microsoft Excel, Word, Power Point, Phonatory Aerodynamic System, Computerized Speech Lab, Easy-On Spirometry, MicroRPM</w:t>
            </w:r>
            <w:r w:rsidDel="00000000" w:rsidR="00000000" w:rsidRPr="00000000">
              <w:rPr>
                <w:rtl w:val="0"/>
              </w:rPr>
            </w:r>
          </w:p>
          <w:p w:rsidR="00000000" w:rsidDel="00000000" w:rsidP="00000000" w:rsidRDefault="00000000" w:rsidRPr="00000000" w14:paraId="0000000B">
            <w:pPr>
              <w:ind w:left="1080" w:hanging="180"/>
              <w:rPr>
                <w:color w:val="404040"/>
                <w:sz w:val="24"/>
                <w:szCs w:val="24"/>
              </w:rPr>
            </w:pPr>
            <w:r w:rsidDel="00000000" w:rsidR="00000000" w:rsidRPr="00000000">
              <w:rPr>
                <w:sz w:val="24"/>
                <w:szCs w:val="24"/>
                <w:rtl w:val="0"/>
              </w:rPr>
              <w:t xml:space="preserve">Web Design: </w:t>
            </w:r>
            <w:r w:rsidDel="00000000" w:rsidR="00000000" w:rsidRPr="00000000">
              <w:rPr>
                <w:color w:val="404040"/>
                <w:sz w:val="24"/>
                <w:szCs w:val="24"/>
                <w:rtl w:val="0"/>
              </w:rPr>
              <w:t xml:space="preserve">Wix, WordPress, Adobe Photoshop, Krita</w:t>
            </w:r>
          </w:p>
          <w:p w:rsidR="00000000" w:rsidDel="00000000" w:rsidP="00000000" w:rsidRDefault="00000000" w:rsidRPr="00000000" w14:paraId="0000000C">
            <w:pPr>
              <w:ind w:left="1080" w:hanging="180"/>
              <w:rPr>
                <w:color w:val="404040"/>
                <w:sz w:val="24"/>
                <w:szCs w:val="24"/>
              </w:rPr>
            </w:pPr>
            <w:r w:rsidDel="00000000" w:rsidR="00000000" w:rsidRPr="00000000">
              <w:rPr>
                <w:rtl w:val="0"/>
              </w:rPr>
            </w:r>
          </w:p>
        </w:tc>
      </w:tr>
    </w:tbl>
    <w:p w:rsidR="00000000" w:rsidDel="00000000" w:rsidP="00000000" w:rsidRDefault="00000000" w:rsidRPr="00000000" w14:paraId="0000000D">
      <w:pPr>
        <w:pStyle w:val="Heading1"/>
        <w:rPr>
          <w:sz w:val="24"/>
          <w:szCs w:val="24"/>
        </w:rPr>
      </w:pPr>
      <w:r w:rsidDel="00000000" w:rsidR="00000000" w:rsidRPr="00000000">
        <w:rPr>
          <w:sz w:val="24"/>
          <w:szCs w:val="24"/>
          <w:rtl w:val="0"/>
        </w:rPr>
        <w:t xml:space="preserve">Career Experience</w:t>
      </w:r>
      <w:r w:rsidDel="00000000" w:rsidR="00000000" w:rsidRPr="00000000">
        <w:rPr>
          <w:rtl w:val="0"/>
        </w:rPr>
      </w:r>
    </w:p>
    <w:tbl>
      <w:tblPr>
        <w:tblStyle w:val="Table4"/>
        <w:tblW w:w="11699.0" w:type="dxa"/>
        <w:jc w:val="left"/>
        <w:tblInd w:w="-36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620"/>
      </w:tblPr>
      <w:tblGrid>
        <w:gridCol w:w="2239"/>
        <w:gridCol w:w="9460"/>
        <w:tblGridChange w:id="0">
          <w:tblGrid>
            <w:gridCol w:w="2239"/>
            <w:gridCol w:w="9460"/>
          </w:tblGrid>
        </w:tblGridChange>
      </w:tblGrid>
      <w:t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b w:val="0"/>
              </w:rPr>
            </w:pPr>
            <w:r w:rsidDel="00000000" w:rsidR="00000000" w:rsidRPr="00000000">
              <w:rPr>
                <w:b w:val="0"/>
                <w:rtl w:val="0"/>
              </w:rPr>
              <w:t xml:space="preserve">2019-present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b w:val="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b w:val="0"/>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44" w:firstLine="0"/>
              <w:jc w:val="left"/>
              <w:rPr>
                <w:b w:val="0"/>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144" w:firstLine="0"/>
              <w:jc w:val="left"/>
              <w:rPr>
                <w:b w:val="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b w:val="0"/>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2009-2011</w:t>
            </w:r>
          </w:p>
        </w:tc>
        <w:tc>
          <w:tcPr/>
          <w:p w:rsidR="00000000" w:rsidDel="00000000" w:rsidP="00000000" w:rsidRDefault="00000000" w:rsidRPr="00000000" w14:paraId="00000015">
            <w:pPr>
              <w:rPr>
                <w:i w:val="1"/>
                <w:color w:val="404040"/>
              </w:rPr>
            </w:pPr>
            <w:r w:rsidDel="00000000" w:rsidR="00000000" w:rsidRPr="00000000">
              <w:rPr>
                <w:sz w:val="24"/>
                <w:szCs w:val="24"/>
                <w:rtl w:val="0"/>
              </w:rPr>
              <w:t xml:space="preserve">Student Volunteer, </w:t>
            </w:r>
            <w:r w:rsidDel="00000000" w:rsidR="00000000" w:rsidRPr="00000000">
              <w:rPr>
                <w:i w:val="1"/>
                <w:color w:val="404040"/>
                <w:rtl w:val="0"/>
              </w:rPr>
              <w:t xml:space="preserve">Portland State University, Portland, Oregon</w:t>
            </w:r>
          </w:p>
          <w:p w:rsidR="00000000" w:rsidDel="00000000" w:rsidP="00000000" w:rsidRDefault="00000000" w:rsidRPr="00000000" w14:paraId="00000016">
            <w:pPr>
              <w:rPr>
                <w:b w:val="0"/>
                <w:color w:val="434343"/>
              </w:rPr>
            </w:pPr>
            <w:r w:rsidDel="00000000" w:rsidR="00000000" w:rsidRPr="00000000">
              <w:rPr>
                <w:b w:val="0"/>
                <w:color w:val="434343"/>
                <w:rtl w:val="0"/>
              </w:rPr>
              <w:t xml:space="preserve">Volunteered on Ali Heitzman’s study “Impact of Testosterone on Respiratory System For</w:t>
            </w:r>
          </w:p>
          <w:p w:rsidR="00000000" w:rsidDel="00000000" w:rsidP="00000000" w:rsidRDefault="00000000" w:rsidRPr="00000000" w14:paraId="00000017">
            <w:pPr>
              <w:rPr>
                <w:b w:val="0"/>
                <w:color w:val="434343"/>
              </w:rPr>
            </w:pPr>
            <w:r w:rsidDel="00000000" w:rsidR="00000000" w:rsidRPr="00000000">
              <w:rPr>
                <w:b w:val="0"/>
                <w:color w:val="434343"/>
                <w:rtl w:val="0"/>
              </w:rPr>
              <w:t xml:space="preserve">Voice in Transgender Individuals”. Duties included assisting with recruitment of 25 human</w:t>
            </w:r>
          </w:p>
          <w:p w:rsidR="00000000" w:rsidDel="00000000" w:rsidP="00000000" w:rsidRDefault="00000000" w:rsidRPr="00000000" w14:paraId="00000018">
            <w:pPr>
              <w:rPr>
                <w:b w:val="0"/>
                <w:color w:val="434343"/>
              </w:rPr>
            </w:pPr>
            <w:r w:rsidDel="00000000" w:rsidR="00000000" w:rsidRPr="00000000">
              <w:rPr>
                <w:b w:val="0"/>
                <w:color w:val="434343"/>
                <w:rtl w:val="0"/>
              </w:rPr>
              <w:t xml:space="preserve">subjects, assisting with literature search and review, editing, and development of materials,</w:t>
            </w:r>
          </w:p>
          <w:p w:rsidR="00000000" w:rsidDel="00000000" w:rsidP="00000000" w:rsidRDefault="00000000" w:rsidRPr="00000000" w14:paraId="00000019">
            <w:pPr>
              <w:rPr>
                <w:b w:val="0"/>
                <w:color w:val="434343"/>
              </w:rPr>
            </w:pPr>
            <w:r w:rsidDel="00000000" w:rsidR="00000000" w:rsidRPr="00000000">
              <w:rPr>
                <w:b w:val="0"/>
                <w:color w:val="434343"/>
                <w:rtl w:val="0"/>
              </w:rPr>
              <w:t xml:space="preserve">data collection using CSL, PAS, Micro RPM, and Spirometry equipment, and engaging in data</w:t>
            </w:r>
          </w:p>
          <w:p w:rsidR="00000000" w:rsidDel="00000000" w:rsidP="00000000" w:rsidRDefault="00000000" w:rsidRPr="00000000" w14:paraId="0000001A">
            <w:pPr>
              <w:rPr>
                <w:b w:val="0"/>
                <w:color w:val="434343"/>
              </w:rPr>
            </w:pPr>
            <w:r w:rsidDel="00000000" w:rsidR="00000000" w:rsidRPr="00000000">
              <w:rPr>
                <w:b w:val="0"/>
                <w:color w:val="434343"/>
                <w:rtl w:val="0"/>
              </w:rPr>
              <w:t xml:space="preserve">analysis through Excel.</w:t>
            </w:r>
          </w:p>
          <w:p w:rsidR="00000000" w:rsidDel="00000000" w:rsidP="00000000" w:rsidRDefault="00000000" w:rsidRPr="00000000" w14:paraId="0000001B">
            <w:pPr>
              <w:numPr>
                <w:ilvl w:val="0"/>
                <w:numId w:val="1"/>
              </w:numPr>
              <w:spacing w:after="100" w:lineRule="auto"/>
              <w:ind w:left="101"/>
              <w:rPr>
                <w:b w:val="0"/>
                <w:color w:val="595959"/>
                <w:u w:val="none"/>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sz w:val="24"/>
                <w:szCs w:val="24"/>
                <w:rtl w:val="0"/>
              </w:rPr>
              <w:t xml:space="preserve">In-Class Volunteer</w:t>
            </w:r>
            <w:r w:rsidDel="00000000" w:rsidR="00000000" w:rsidRPr="00000000">
              <w:rPr>
                <w:rtl w:val="0"/>
              </w:rPr>
              <w:t xml:space="preserve">,  </w:t>
            </w:r>
            <w:r w:rsidDel="00000000" w:rsidR="00000000" w:rsidRPr="00000000">
              <w:rPr>
                <w:i w:val="1"/>
                <w:color w:val="404040"/>
                <w:rtl w:val="0"/>
              </w:rPr>
              <w:t xml:space="preserve">Bay View Elementary, Santa Cruz, California</w:t>
            </w:r>
            <w:r w:rsidDel="00000000" w:rsidR="00000000" w:rsidRPr="00000000">
              <w:rPr>
                <w:rtl w:val="0"/>
              </w:rPr>
            </w:r>
          </w:p>
          <w:p w:rsidR="00000000" w:rsidDel="00000000" w:rsidP="00000000" w:rsidRDefault="00000000" w:rsidRPr="00000000" w14:paraId="0000001E">
            <w:pPr>
              <w:rPr>
                <w:b w:val="0"/>
                <w:color w:val="434343"/>
              </w:rPr>
            </w:pPr>
            <w:r w:rsidDel="00000000" w:rsidR="00000000" w:rsidRPr="00000000">
              <w:rPr>
                <w:b w:val="0"/>
                <w:color w:val="434343"/>
                <w:rtl w:val="0"/>
              </w:rPr>
              <w:t xml:space="preserve">Worked as a teacher’s assistant two days a week as well as tutoring in an after-school</w:t>
            </w:r>
          </w:p>
          <w:p w:rsidR="00000000" w:rsidDel="00000000" w:rsidP="00000000" w:rsidRDefault="00000000" w:rsidRPr="00000000" w14:paraId="0000001F">
            <w:pPr>
              <w:rPr>
                <w:b w:val="0"/>
                <w:color w:val="434343"/>
              </w:rPr>
            </w:pPr>
            <w:r w:rsidDel="00000000" w:rsidR="00000000" w:rsidRPr="00000000">
              <w:rPr>
                <w:b w:val="0"/>
                <w:color w:val="434343"/>
                <w:rtl w:val="0"/>
              </w:rPr>
              <w:t xml:space="preserve">program. In a classroom setting I assisted in a classroom of twenty 2nd and 3rd grade</w:t>
            </w:r>
          </w:p>
          <w:p w:rsidR="00000000" w:rsidDel="00000000" w:rsidP="00000000" w:rsidRDefault="00000000" w:rsidRPr="00000000" w14:paraId="00000020">
            <w:pPr>
              <w:rPr>
                <w:b w:val="0"/>
                <w:color w:val="434343"/>
              </w:rPr>
            </w:pPr>
            <w:r w:rsidDel="00000000" w:rsidR="00000000" w:rsidRPr="00000000">
              <w:rPr>
                <w:b w:val="0"/>
                <w:color w:val="434343"/>
                <w:rtl w:val="0"/>
              </w:rPr>
              <w:t xml:space="preserve">non-native English speakers. Duties included aiding the teacher with the lesson plans,</w:t>
            </w:r>
          </w:p>
          <w:p w:rsidR="00000000" w:rsidDel="00000000" w:rsidP="00000000" w:rsidRDefault="00000000" w:rsidRPr="00000000" w14:paraId="00000021">
            <w:pPr>
              <w:rPr>
                <w:b w:val="0"/>
                <w:color w:val="434343"/>
              </w:rPr>
            </w:pPr>
            <w:r w:rsidDel="00000000" w:rsidR="00000000" w:rsidRPr="00000000">
              <w:rPr>
                <w:b w:val="0"/>
                <w:color w:val="434343"/>
                <w:rtl w:val="0"/>
              </w:rPr>
              <w:t xml:space="preserve">working in small groups or one-on-one with children as needed. In an after school setting I</w:t>
            </w:r>
          </w:p>
          <w:p w:rsidR="00000000" w:rsidDel="00000000" w:rsidP="00000000" w:rsidRDefault="00000000" w:rsidRPr="00000000" w14:paraId="00000022">
            <w:pPr>
              <w:rPr>
                <w:b w:val="0"/>
                <w:color w:val="434343"/>
              </w:rPr>
            </w:pPr>
            <w:r w:rsidDel="00000000" w:rsidR="00000000" w:rsidRPr="00000000">
              <w:rPr>
                <w:b w:val="0"/>
                <w:color w:val="434343"/>
                <w:rtl w:val="0"/>
              </w:rPr>
              <w:t xml:space="preserve">tutored 4th and 5th grade students one-on-one in reading, writing, comprehension, and</w:t>
            </w:r>
          </w:p>
          <w:p w:rsidR="00000000" w:rsidDel="00000000" w:rsidP="00000000" w:rsidRDefault="00000000" w:rsidRPr="00000000" w14:paraId="00000023">
            <w:pPr>
              <w:rPr>
                <w:b w:val="0"/>
                <w:color w:val="434343"/>
              </w:rPr>
            </w:pPr>
            <w:r w:rsidDel="00000000" w:rsidR="00000000" w:rsidRPr="00000000">
              <w:rPr>
                <w:b w:val="0"/>
                <w:color w:val="434343"/>
                <w:rtl w:val="0"/>
              </w:rPr>
              <w:t xml:space="preserve">math in preparation for STAR testing for 30 minutes sessions for a total of thirty-two hours at</w:t>
            </w:r>
          </w:p>
          <w:p w:rsidR="00000000" w:rsidDel="00000000" w:rsidP="00000000" w:rsidRDefault="00000000" w:rsidRPr="00000000" w14:paraId="00000024">
            <w:pPr>
              <w:rPr>
                <w:b w:val="0"/>
                <w:color w:val="434343"/>
              </w:rPr>
            </w:pPr>
            <w:r w:rsidDel="00000000" w:rsidR="00000000" w:rsidRPr="00000000">
              <w:rPr>
                <w:b w:val="0"/>
                <w:color w:val="434343"/>
                <w:rtl w:val="0"/>
              </w:rPr>
              <w:t xml:space="preserve">the end of the school year.</w:t>
            </w:r>
          </w:p>
          <w:p w:rsidR="00000000" w:rsidDel="00000000" w:rsidP="00000000" w:rsidRDefault="00000000" w:rsidRPr="00000000" w14:paraId="00000025">
            <w:pPr>
              <w:rPr>
                <w:b w:val="0"/>
                <w:color w:val="434343"/>
              </w:rPr>
            </w:pPr>
            <w:r w:rsidDel="00000000" w:rsidR="00000000" w:rsidRPr="00000000">
              <w:rPr>
                <w:rtl w:val="0"/>
              </w:rPr>
            </w:r>
          </w:p>
        </w:tc>
      </w:tr>
    </w:tbl>
    <w:p w:rsidR="00000000" w:rsidDel="00000000" w:rsidP="00000000" w:rsidRDefault="00000000" w:rsidRPr="00000000" w14:paraId="00000026">
      <w:pPr>
        <w:pStyle w:val="Heading1"/>
        <w:rPr>
          <w:sz w:val="24"/>
          <w:szCs w:val="24"/>
        </w:rPr>
      </w:pPr>
      <w:r w:rsidDel="00000000" w:rsidR="00000000" w:rsidRPr="00000000">
        <w:rPr>
          <w:sz w:val="24"/>
          <w:szCs w:val="24"/>
          <w:rtl w:val="0"/>
        </w:rPr>
        <w:t xml:space="preserve">Employment</w:t>
      </w:r>
    </w:p>
    <w:p w:rsidR="00000000" w:rsidDel="00000000" w:rsidP="00000000" w:rsidRDefault="00000000" w:rsidRPr="00000000" w14:paraId="00000027">
      <w:pPr>
        <w:rPr/>
      </w:pPr>
      <w:r w:rsidDel="00000000" w:rsidR="00000000" w:rsidRPr="00000000">
        <w:rPr>
          <w:rtl w:val="0"/>
        </w:rPr>
      </w:r>
    </w:p>
    <w:tbl>
      <w:tblPr>
        <w:tblStyle w:val="Table5"/>
        <w:tblW w:w="11699.0" w:type="dxa"/>
        <w:jc w:val="left"/>
        <w:tblInd w:w="-36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620"/>
      </w:tblPr>
      <w:tblGrid>
        <w:gridCol w:w="2242"/>
        <w:gridCol w:w="9457"/>
        <w:tblGridChange w:id="0">
          <w:tblGrid>
            <w:gridCol w:w="2242"/>
            <w:gridCol w:w="9457"/>
          </w:tblGrid>
        </w:tblGridChange>
      </w:tblGrid>
      <w:tr>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2009-</w:t>
            </w:r>
            <w:r w:rsidDel="00000000" w:rsidR="00000000" w:rsidRPr="00000000">
              <w:rPr>
                <w:b w:val="0"/>
                <w:sz w:val="24"/>
                <w:szCs w:val="24"/>
                <w:rtl w:val="0"/>
              </w:rPr>
              <w:t xml:space="preserve">2016</w:t>
            </w:r>
            <w:r w:rsidDel="00000000" w:rsidR="00000000" w:rsidRPr="00000000">
              <w:rPr>
                <w:rtl w:val="0"/>
              </w:rPr>
            </w:r>
          </w:p>
        </w:tc>
        <w:tc>
          <w:tcPr/>
          <w:p w:rsidR="00000000" w:rsidDel="00000000" w:rsidP="00000000" w:rsidRDefault="00000000" w:rsidRPr="00000000" w14:paraId="00000029">
            <w:pPr>
              <w:rPr/>
            </w:pPr>
            <w:r w:rsidDel="00000000" w:rsidR="00000000" w:rsidRPr="00000000">
              <w:rPr>
                <w:sz w:val="24"/>
                <w:szCs w:val="24"/>
                <w:rtl w:val="0"/>
              </w:rPr>
              <w:t xml:space="preserve">Bicycle Mechanic</w:t>
            </w:r>
            <w:r w:rsidDel="00000000" w:rsidR="00000000" w:rsidRPr="00000000">
              <w:rPr>
                <w:rtl w:val="0"/>
              </w:rPr>
              <w:t xml:space="preserve">, Various Locations</w:t>
            </w:r>
          </w:p>
          <w:p w:rsidR="00000000" w:rsidDel="00000000" w:rsidP="00000000" w:rsidRDefault="00000000" w:rsidRPr="00000000" w14:paraId="0000002A">
            <w:pPr>
              <w:rPr>
                <w:color w:val="404040"/>
              </w:rPr>
            </w:pPr>
            <w:r w:rsidDel="00000000" w:rsidR="00000000" w:rsidRPr="00000000">
              <w:rPr>
                <w:i w:val="1"/>
                <w:color w:val="404040"/>
                <w:rtl w:val="0"/>
              </w:rPr>
              <w:t xml:space="preserve">Golden Pliers</w:t>
            </w:r>
            <w:r w:rsidDel="00000000" w:rsidR="00000000" w:rsidRPr="00000000">
              <w:rPr>
                <w:color w:val="404040"/>
                <w:rtl w:val="0"/>
              </w:rPr>
              <w:t xml:space="preserve">, Portland, Oregon, August 2019 - Present; </w:t>
            </w:r>
          </w:p>
          <w:p w:rsidR="00000000" w:rsidDel="00000000" w:rsidP="00000000" w:rsidRDefault="00000000" w:rsidRPr="00000000" w14:paraId="0000002B">
            <w:pPr>
              <w:rPr>
                <w:i w:val="1"/>
                <w:color w:val="404040"/>
              </w:rPr>
            </w:pPr>
            <w:r w:rsidDel="00000000" w:rsidR="00000000" w:rsidRPr="00000000">
              <w:rPr>
                <w:i w:val="1"/>
                <w:color w:val="404040"/>
                <w:rtl w:val="0"/>
              </w:rPr>
              <w:t xml:space="preserve">Community Cycling Center, </w:t>
            </w:r>
            <w:r w:rsidDel="00000000" w:rsidR="00000000" w:rsidRPr="00000000">
              <w:rPr>
                <w:color w:val="404040"/>
                <w:rtl w:val="0"/>
              </w:rPr>
              <w:t xml:space="preserve">Portland, Oregon, 2017 - 2019</w:t>
            </w:r>
            <w:r w:rsidDel="00000000" w:rsidR="00000000" w:rsidRPr="00000000">
              <w:rPr>
                <w:i w:val="1"/>
                <w:color w:val="404040"/>
                <w:rtl w:val="0"/>
              </w:rPr>
              <w:t xml:space="preserve">; </w:t>
            </w:r>
          </w:p>
          <w:p w:rsidR="00000000" w:rsidDel="00000000" w:rsidP="00000000" w:rsidRDefault="00000000" w:rsidRPr="00000000" w14:paraId="0000002C">
            <w:pPr>
              <w:rPr>
                <w:i w:val="1"/>
                <w:color w:val="404040"/>
              </w:rPr>
            </w:pPr>
            <w:r w:rsidDel="00000000" w:rsidR="00000000" w:rsidRPr="00000000">
              <w:rPr>
                <w:i w:val="1"/>
                <w:color w:val="404040"/>
                <w:rtl w:val="0"/>
              </w:rPr>
              <w:t xml:space="preserve">Epicenter,</w:t>
            </w:r>
            <w:r w:rsidDel="00000000" w:rsidR="00000000" w:rsidRPr="00000000">
              <w:rPr>
                <w:color w:val="404040"/>
                <w:rtl w:val="0"/>
              </w:rPr>
              <w:t xml:space="preserve"> Santa Cruz, California, January 2016 - December 2016</w:t>
            </w:r>
            <w:r w:rsidDel="00000000" w:rsidR="00000000" w:rsidRPr="00000000">
              <w:rPr>
                <w:i w:val="1"/>
                <w:color w:val="404040"/>
                <w:rtl w:val="0"/>
              </w:rPr>
              <w:t xml:space="preserve">; </w:t>
            </w:r>
          </w:p>
          <w:p w:rsidR="00000000" w:rsidDel="00000000" w:rsidP="00000000" w:rsidRDefault="00000000" w:rsidRPr="00000000" w14:paraId="0000002D">
            <w:pPr>
              <w:rPr>
                <w:rFonts w:ascii="Calibri" w:cs="Calibri" w:eastAsia="Calibri" w:hAnsi="Calibri"/>
                <w:b w:val="0"/>
                <w:smallCaps w:val="0"/>
                <w:strike w:val="0"/>
                <w:color w:val="595959"/>
                <w:sz w:val="22"/>
                <w:szCs w:val="22"/>
                <w:u w:val="none"/>
                <w:shd w:fill="auto" w:val="clear"/>
                <w:vertAlign w:val="baseline"/>
              </w:rPr>
            </w:pPr>
            <w:r w:rsidDel="00000000" w:rsidR="00000000" w:rsidRPr="00000000">
              <w:rPr>
                <w:i w:val="1"/>
                <w:color w:val="404040"/>
                <w:rtl w:val="0"/>
              </w:rPr>
              <w:t xml:space="preserve">The Bike Church, </w:t>
            </w:r>
            <w:r w:rsidDel="00000000" w:rsidR="00000000" w:rsidRPr="00000000">
              <w:rPr>
                <w:color w:val="404040"/>
                <w:rtl w:val="0"/>
              </w:rPr>
              <w:t xml:space="preserve">Santa Cruz, California</w:t>
            </w:r>
            <w:r w:rsidDel="00000000" w:rsidR="00000000" w:rsidRPr="00000000">
              <w:rPr>
                <w:color w:val="404040"/>
                <w:rtl w:val="0"/>
              </w:rPr>
              <w:t xml:space="preserve">, 2009 - 2011</w:t>
            </w:r>
            <w:r w:rsidDel="00000000" w:rsidR="00000000" w:rsidRPr="00000000">
              <w:rPr>
                <w:rtl w:val="0"/>
              </w:rPr>
            </w:r>
          </w:p>
        </w:tc>
      </w:tr>
      <w:tr>
        <w:tc>
          <w:tcPr>
            <w:tcBorders>
              <w:left w:color="ffffff" w:space="0" w:sz="24" w:val="single"/>
              <w:bottom w:color="ffffff" w:space="0" w:sz="6" w:val="single"/>
              <w:right w:color="ffffff" w:space="0" w:sz="6"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left w:color="ffffff" w:space="0" w:sz="6" w:val="single"/>
              <w:bottom w:color="ffffff" w:space="0" w:sz="6" w:val="single"/>
            </w:tcBorders>
          </w:tcPr>
          <w:p w:rsidR="00000000" w:rsidDel="00000000" w:rsidP="00000000" w:rsidRDefault="00000000" w:rsidRPr="00000000" w14:paraId="0000002F">
            <w:pPr>
              <w:rPr>
                <w:b w:val="0"/>
                <w:color w:val="434343"/>
              </w:rPr>
            </w:pPr>
            <w:r w:rsidDel="00000000" w:rsidR="00000000" w:rsidRPr="00000000">
              <w:rPr>
                <w:b w:val="0"/>
                <w:color w:val="434343"/>
                <w:rtl w:val="0"/>
              </w:rPr>
              <w:t xml:space="preserve">Notable responsibilities and accomplishments include scheduling staff meeting and shifts for</w:t>
            </w:r>
          </w:p>
          <w:p w:rsidR="00000000" w:rsidDel="00000000" w:rsidP="00000000" w:rsidRDefault="00000000" w:rsidRPr="00000000" w14:paraId="00000030">
            <w:pPr>
              <w:rPr>
                <w:b w:val="0"/>
                <w:color w:val="434343"/>
              </w:rPr>
            </w:pPr>
            <w:r w:rsidDel="00000000" w:rsidR="00000000" w:rsidRPr="00000000">
              <w:rPr>
                <w:b w:val="0"/>
                <w:color w:val="434343"/>
                <w:rtl w:val="0"/>
              </w:rPr>
              <w:t xml:space="preserve">seven mechanics, maintaining the shop website and social media accounts, creating a system</w:t>
            </w:r>
          </w:p>
          <w:p w:rsidR="00000000" w:rsidDel="00000000" w:rsidP="00000000" w:rsidRDefault="00000000" w:rsidRPr="00000000" w14:paraId="00000031">
            <w:pPr>
              <w:rPr>
                <w:b w:val="0"/>
                <w:color w:val="434343"/>
              </w:rPr>
            </w:pPr>
            <w:r w:rsidDel="00000000" w:rsidR="00000000" w:rsidRPr="00000000">
              <w:rPr>
                <w:b w:val="0"/>
                <w:color w:val="434343"/>
                <w:rtl w:val="0"/>
              </w:rPr>
              <w:t xml:space="preserve">using Google Sheets to track inventory, ordering bicycle parts twice a month, using Google</w:t>
            </w:r>
          </w:p>
          <w:p w:rsidR="00000000" w:rsidDel="00000000" w:rsidP="00000000" w:rsidRDefault="00000000" w:rsidRPr="00000000" w14:paraId="00000032">
            <w:pPr>
              <w:rPr>
                <w:b w:val="0"/>
                <w:color w:val="434343"/>
              </w:rPr>
            </w:pPr>
            <w:r w:rsidDel="00000000" w:rsidR="00000000" w:rsidRPr="00000000">
              <w:rPr>
                <w:b w:val="0"/>
                <w:color w:val="434343"/>
                <w:rtl w:val="0"/>
              </w:rPr>
              <w:t xml:space="preserve">Sheets for bookkeeping and creating a yearly budget analysis, digitizing the by-laws and</w:t>
            </w:r>
          </w:p>
          <w:p w:rsidR="00000000" w:rsidDel="00000000" w:rsidP="00000000" w:rsidRDefault="00000000" w:rsidRPr="00000000" w14:paraId="00000033">
            <w:pPr>
              <w:rPr>
                <w:b w:val="0"/>
                <w:color w:val="434343"/>
              </w:rPr>
            </w:pPr>
            <w:r w:rsidDel="00000000" w:rsidR="00000000" w:rsidRPr="00000000">
              <w:rPr>
                <w:b w:val="0"/>
                <w:color w:val="434343"/>
                <w:rtl w:val="0"/>
              </w:rPr>
              <w:t xml:space="preserve">meeting minutes going back twenty years, and creating a system for selling high end bike parts</w:t>
            </w:r>
          </w:p>
          <w:p w:rsidR="00000000" w:rsidDel="00000000" w:rsidP="00000000" w:rsidRDefault="00000000" w:rsidRPr="00000000" w14:paraId="00000034">
            <w:pPr>
              <w:rPr>
                <w:b w:val="0"/>
                <w:color w:val="434343"/>
              </w:rPr>
            </w:pPr>
            <w:r w:rsidDel="00000000" w:rsidR="00000000" w:rsidRPr="00000000">
              <w:rPr>
                <w:b w:val="0"/>
                <w:color w:val="434343"/>
                <w:rtl w:val="0"/>
              </w:rPr>
              <w:t xml:space="preserve">through Ebay. In addition to office tasks I also taught basic bicycle maintenance workshops to Spanish speaking individuals of all ages and partnered with Andando en Bicicletas y Caminando to provide workshops to their members taught in Spanish. I also taught workshops to women, transgender, and gender-diverse folks. In all of these spaces I worked to foster a safe space where people felt comfortable asking questions and interacting in an area they were new to (mechanics). </w:t>
            </w:r>
          </w:p>
          <w:p w:rsidR="00000000" w:rsidDel="00000000" w:rsidP="00000000" w:rsidRDefault="00000000" w:rsidRPr="00000000" w14:paraId="00000035">
            <w:pPr>
              <w:rPr>
                <w:b w:val="0"/>
                <w:color w:val="434343"/>
              </w:rPr>
            </w:pPr>
            <w:r w:rsidDel="00000000" w:rsidR="00000000" w:rsidRPr="00000000">
              <w:rPr>
                <w:rtl w:val="0"/>
              </w:rPr>
            </w:r>
          </w:p>
        </w:tc>
      </w:tr>
      <w:tr>
        <w:tc>
          <w:tcPr>
            <w:tcBorders>
              <w:top w:color="ffffff" w:space="0" w:sz="6" w:val="single"/>
              <w:left w:color="ffffff" w:space="0" w:sz="24" w:val="single"/>
              <w:bottom w:color="ffffff" w:space="0" w:sz="24" w:val="single"/>
              <w:right w:color="ffffff" w:space="0" w:sz="6"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8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2013-2016</w:t>
            </w:r>
          </w:p>
        </w:tc>
        <w:tc>
          <w:tcPr>
            <w:tcBorders>
              <w:top w:color="ffffff" w:space="0" w:sz="6" w:val="single"/>
              <w:left w:color="ffffff" w:space="0" w:sz="6" w:val="single"/>
              <w:bottom w:color="ffffff" w:space="0" w:sz="24" w:val="single"/>
            </w:tcBorders>
          </w:tcPr>
          <w:p w:rsidR="00000000" w:rsidDel="00000000" w:rsidP="00000000" w:rsidRDefault="00000000" w:rsidRPr="00000000" w14:paraId="00000037">
            <w:pPr>
              <w:rPr/>
            </w:pPr>
            <w:r w:rsidDel="00000000" w:rsidR="00000000" w:rsidRPr="00000000">
              <w:rPr>
                <w:sz w:val="24"/>
                <w:szCs w:val="24"/>
                <w:rtl w:val="0"/>
              </w:rPr>
              <w:t xml:space="preserve">Geographic Researcher</w:t>
            </w:r>
            <w:r w:rsidDel="00000000" w:rsidR="00000000" w:rsidRPr="00000000">
              <w:rPr>
                <w:rtl w:val="0"/>
              </w:rPr>
              <w:t xml:space="preserve">,  </w:t>
            </w:r>
            <w:r w:rsidDel="00000000" w:rsidR="00000000" w:rsidRPr="00000000">
              <w:rPr>
                <w:i w:val="1"/>
                <w:color w:val="404040"/>
                <w:rtl w:val="0"/>
              </w:rPr>
              <w:t xml:space="preserve">Nokia, Santa Cruz, California</w:t>
            </w:r>
            <w:r w:rsidDel="00000000" w:rsidR="00000000" w:rsidRPr="00000000">
              <w:rPr>
                <w:rtl w:val="0"/>
              </w:rPr>
            </w:r>
          </w:p>
          <w:p w:rsidR="00000000" w:rsidDel="00000000" w:rsidP="00000000" w:rsidRDefault="00000000" w:rsidRPr="00000000" w14:paraId="00000038">
            <w:pPr>
              <w:rPr>
                <w:b w:val="0"/>
                <w:color w:val="434343"/>
              </w:rPr>
            </w:pPr>
            <w:r w:rsidDel="00000000" w:rsidR="00000000" w:rsidRPr="00000000">
              <w:rPr>
                <w:b w:val="0"/>
                <w:color w:val="434343"/>
                <w:rtl w:val="0"/>
              </w:rPr>
              <w:t xml:space="preserve">Improved Nokia’s software pertaining to web searches by using customer location searches</w:t>
            </w:r>
          </w:p>
          <w:p w:rsidR="00000000" w:rsidDel="00000000" w:rsidP="00000000" w:rsidRDefault="00000000" w:rsidRPr="00000000" w14:paraId="00000039">
            <w:pPr>
              <w:rPr>
                <w:b w:val="0"/>
                <w:color w:val="434343"/>
              </w:rPr>
            </w:pPr>
            <w:r w:rsidDel="00000000" w:rsidR="00000000" w:rsidRPr="00000000">
              <w:rPr>
                <w:b w:val="0"/>
                <w:color w:val="434343"/>
                <w:rtl w:val="0"/>
              </w:rPr>
              <w:t xml:space="preserve">and cross referencing with Nokia’s algorithms and making improvements based on findings.</w:t>
            </w:r>
          </w:p>
          <w:p w:rsidR="00000000" w:rsidDel="00000000" w:rsidP="00000000" w:rsidRDefault="00000000" w:rsidRPr="00000000" w14:paraId="0000003A">
            <w:pPr>
              <w:rPr>
                <w:b w:val="0"/>
                <w:color w:val="434343"/>
              </w:rPr>
            </w:pPr>
            <w:r w:rsidDel="00000000" w:rsidR="00000000" w:rsidRPr="00000000">
              <w:rPr>
                <w:b w:val="0"/>
                <w:color w:val="434343"/>
                <w:rtl w:val="0"/>
              </w:rPr>
              <w:t xml:space="preserve">Responsible for setting my own schedule which necessitated excellent time management skills</w:t>
            </w:r>
          </w:p>
          <w:p w:rsidR="00000000" w:rsidDel="00000000" w:rsidP="00000000" w:rsidRDefault="00000000" w:rsidRPr="00000000" w14:paraId="0000003B">
            <w:pPr>
              <w:rPr>
                <w:b w:val="0"/>
                <w:color w:val="434343"/>
              </w:rPr>
            </w:pPr>
            <w:r w:rsidDel="00000000" w:rsidR="00000000" w:rsidRPr="00000000">
              <w:rPr>
                <w:b w:val="0"/>
                <w:color w:val="434343"/>
                <w:rtl w:val="0"/>
              </w:rPr>
              <w:t xml:space="preserve">to make time for project deadlines. The position required a strong grasp of semantics, pragmatics, as well as a basic knowledge of several languages or the ability to research languages, as many searches were submitted by European users. </w:t>
            </w:r>
          </w:p>
          <w:p w:rsidR="00000000" w:rsidDel="00000000" w:rsidP="00000000" w:rsidRDefault="00000000" w:rsidRPr="00000000" w14:paraId="0000003C">
            <w:pPr>
              <w:rPr>
                <w:b w:val="0"/>
                <w:color w:val="434343"/>
              </w:rPr>
            </w:pPr>
            <w:r w:rsidDel="00000000" w:rsidR="00000000" w:rsidRPr="00000000">
              <w:rPr>
                <w:rtl w:val="0"/>
              </w:rPr>
            </w:r>
          </w:p>
          <w:p w:rsidR="00000000" w:rsidDel="00000000" w:rsidP="00000000" w:rsidRDefault="00000000" w:rsidRPr="00000000" w14:paraId="0000003D">
            <w:pPr>
              <w:rPr>
                <w:b w:val="0"/>
                <w:color w:val="434343"/>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576" w:firstLine="0"/>
              <w:jc w:val="left"/>
              <w:rPr>
                <w:b w:val="0"/>
                <w:color w:val="595959"/>
              </w:rPr>
            </w:pPr>
            <w:r w:rsidDel="00000000" w:rsidR="00000000" w:rsidRPr="00000000">
              <w:rPr>
                <w:rtl w:val="0"/>
              </w:rPr>
            </w:r>
          </w:p>
        </w:tc>
      </w:tr>
    </w:tbl>
    <w:p w:rsidR="00000000" w:rsidDel="00000000" w:rsidP="00000000" w:rsidRDefault="00000000" w:rsidRPr="00000000" w14:paraId="0000003F">
      <w:pPr>
        <w:pStyle w:val="Title"/>
        <w:rPr>
          <w:sz w:val="24"/>
          <w:szCs w:val="24"/>
        </w:rPr>
      </w:pPr>
      <w:r w:rsidDel="00000000" w:rsidR="00000000" w:rsidRPr="00000000">
        <w:rPr>
          <w:sz w:val="24"/>
          <w:szCs w:val="24"/>
          <w:rtl w:val="0"/>
        </w:rPr>
        <w:t xml:space="preserve">Extra-Career Experience</w:t>
      </w:r>
    </w:p>
    <w:p w:rsidR="00000000" w:rsidDel="00000000" w:rsidP="00000000" w:rsidRDefault="00000000" w:rsidRPr="00000000" w14:paraId="00000040">
      <w:pPr>
        <w:rPr/>
      </w:pPr>
      <w:r w:rsidDel="00000000" w:rsidR="00000000" w:rsidRPr="00000000">
        <w:rPr>
          <w:rtl w:val="0"/>
        </w:rPr>
      </w:r>
    </w:p>
    <w:tbl>
      <w:tblPr>
        <w:tblStyle w:val="Table6"/>
        <w:tblW w:w="11620.0" w:type="dxa"/>
        <w:jc w:val="left"/>
        <w:tblInd w:w="-36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620"/>
      </w:tblPr>
      <w:tblGrid>
        <w:gridCol w:w="2220"/>
        <w:gridCol w:w="9400"/>
        <w:tblGridChange w:id="0">
          <w:tblGrid>
            <w:gridCol w:w="2220"/>
            <w:gridCol w:w="9400"/>
          </w:tblGrid>
        </w:tblGridChange>
      </w:tblGrid>
      <w:tr>
        <w:tc>
          <w:tcPr>
            <w:tcBorders>
              <w:bottom w:color="000000" w:space="0" w:sz="0" w:val="nil"/>
            </w:tcBorders>
          </w:tcPr>
          <w:p w:rsidR="00000000" w:rsidDel="00000000" w:rsidP="00000000" w:rsidRDefault="00000000" w:rsidRPr="00000000" w14:paraId="00000041">
            <w:pPr>
              <w:spacing w:after="120" w:lineRule="auto"/>
              <w:ind w:left="180" w:right="144" w:firstLine="0"/>
              <w:rPr>
                <w:b w:val="0"/>
                <w:sz w:val="24"/>
                <w:szCs w:val="24"/>
              </w:rPr>
            </w:pPr>
            <w:bookmarkStart w:colFirst="0" w:colLast="0" w:name="_gjdgxs" w:id="0"/>
            <w:bookmarkEnd w:id="0"/>
            <w:r w:rsidDel="00000000" w:rsidR="00000000" w:rsidRPr="00000000">
              <w:rPr>
                <w:b w:val="0"/>
                <w:sz w:val="24"/>
                <w:szCs w:val="24"/>
                <w:rtl w:val="0"/>
              </w:rPr>
              <w:t xml:space="preserve">2019-Present</w:t>
            </w:r>
          </w:p>
        </w:tc>
        <w:tc>
          <w:tcPr>
            <w:tcBorders>
              <w:bottom w:color="000000" w:space="0" w:sz="0" w:val="nil"/>
            </w:tcBorders>
          </w:tcPr>
          <w:p w:rsidR="00000000" w:rsidDel="00000000" w:rsidP="00000000" w:rsidRDefault="00000000" w:rsidRPr="00000000" w14:paraId="00000042">
            <w:pPr>
              <w:spacing w:after="0" w:lineRule="auto"/>
              <w:rPr>
                <w:i w:val="1"/>
                <w:color w:val="434343"/>
              </w:rPr>
            </w:pPr>
            <w:r w:rsidDel="00000000" w:rsidR="00000000" w:rsidRPr="00000000">
              <w:rPr>
                <w:sz w:val="24"/>
                <w:szCs w:val="24"/>
                <w:rtl w:val="0"/>
              </w:rPr>
              <w:t xml:space="preserve">Undergraduate/Post-Baccalaureate Chair, </w:t>
            </w:r>
            <w:r w:rsidDel="00000000" w:rsidR="00000000" w:rsidRPr="00000000">
              <w:rPr>
                <w:i w:val="1"/>
                <w:color w:val="434343"/>
                <w:rtl w:val="0"/>
              </w:rPr>
              <w:t xml:space="preserve">LGBTQ+ Students of SPHR - Portland State University, Portland, Oregon</w:t>
            </w:r>
          </w:p>
          <w:p w:rsidR="00000000" w:rsidDel="00000000" w:rsidP="00000000" w:rsidRDefault="00000000" w:rsidRPr="00000000" w14:paraId="00000043">
            <w:pPr>
              <w:spacing w:after="0" w:lineRule="auto"/>
              <w:rPr>
                <w:b w:val="0"/>
                <w:color w:val="434343"/>
              </w:rPr>
            </w:pPr>
            <w:r w:rsidDel="00000000" w:rsidR="00000000" w:rsidRPr="00000000">
              <w:rPr>
                <w:b w:val="0"/>
                <w:color w:val="434343"/>
                <w:rtl w:val="0"/>
              </w:rPr>
              <w:t xml:space="preserve">Worked with other LGBTQ+ undergraduate and graduate students to facilitate Diversity, Equity, and Inclusivity training for students and faculty of the Speech and Hearing Sciences department Provided a space for marginalized groups within the Speech and Hearing Sciences department to network and connect. In addition we worked collaboratively with other student groups to create group goals with an intersectional focus.</w:t>
            </w:r>
          </w:p>
          <w:p w:rsidR="00000000" w:rsidDel="00000000" w:rsidP="00000000" w:rsidRDefault="00000000" w:rsidRPr="00000000" w14:paraId="00000044">
            <w:pPr>
              <w:spacing w:after="0" w:lineRule="auto"/>
              <w:rPr>
                <w:b w:val="0"/>
                <w:color w:val="434343"/>
                <w:sz w:val="24"/>
                <w:szCs w:val="24"/>
              </w:rPr>
            </w:pPr>
            <w:r w:rsidDel="00000000" w:rsidR="00000000" w:rsidRPr="00000000">
              <w:rPr>
                <w:rtl w:val="0"/>
              </w:rPr>
            </w:r>
          </w:p>
        </w:tc>
      </w:tr>
      <w:tr>
        <w:tc>
          <w:tcPr>
            <w:tcBorders>
              <w:top w:color="000000" w:space="0" w:sz="0" w:val="nil"/>
              <w:left w:color="ffffff" w:space="0" w:sz="24" w:val="single"/>
              <w:bottom w:color="ffffff" w:space="0" w:sz="6" w:val="single"/>
              <w:right w:color="ffffff" w:space="0" w:sz="6" w:val="single"/>
            </w:tcBorders>
          </w:tcPr>
          <w:p w:rsidR="00000000" w:rsidDel="00000000" w:rsidP="00000000" w:rsidRDefault="00000000" w:rsidRPr="00000000" w14:paraId="00000045">
            <w:pPr>
              <w:spacing w:after="120" w:lineRule="auto"/>
              <w:ind w:left="180" w:right="144" w:firstLine="0"/>
              <w:rPr>
                <w:b w:val="0"/>
                <w:sz w:val="24"/>
                <w:szCs w:val="24"/>
              </w:rPr>
            </w:pPr>
            <w:bookmarkStart w:colFirst="0" w:colLast="0" w:name="_6y5ffj79xxgr" w:id="1"/>
            <w:bookmarkEnd w:id="1"/>
            <w:r w:rsidDel="00000000" w:rsidR="00000000" w:rsidRPr="00000000">
              <w:rPr>
                <w:b w:val="0"/>
                <w:sz w:val="24"/>
                <w:szCs w:val="24"/>
                <w:rtl w:val="0"/>
              </w:rPr>
              <w:t xml:space="preserve">2019-Present</w:t>
            </w:r>
          </w:p>
        </w:tc>
        <w:tc>
          <w:tcPr>
            <w:tcBorders>
              <w:top w:color="000000" w:space="0" w:sz="0" w:val="nil"/>
              <w:left w:color="ffffff" w:space="0" w:sz="6" w:val="single"/>
              <w:bottom w:color="ffffff" w:space="0" w:sz="6" w:val="single"/>
              <w:right w:color="ffffff" w:space="0" w:sz="24" w:val="single"/>
            </w:tcBorders>
          </w:tcPr>
          <w:p w:rsidR="00000000" w:rsidDel="00000000" w:rsidP="00000000" w:rsidRDefault="00000000" w:rsidRPr="00000000" w14:paraId="00000046">
            <w:pPr>
              <w:spacing w:after="0" w:lineRule="auto"/>
              <w:rPr>
                <w:i w:val="1"/>
                <w:color w:val="404040"/>
                <w:sz w:val="24"/>
                <w:szCs w:val="24"/>
              </w:rPr>
            </w:pPr>
            <w:r w:rsidDel="00000000" w:rsidR="00000000" w:rsidRPr="00000000">
              <w:rPr>
                <w:sz w:val="24"/>
                <w:szCs w:val="24"/>
                <w:rtl w:val="0"/>
              </w:rPr>
              <w:t xml:space="preserve">Fundraising Chair, </w:t>
            </w:r>
            <w:r w:rsidDel="00000000" w:rsidR="00000000" w:rsidRPr="00000000">
              <w:rPr>
                <w:i w:val="1"/>
                <w:color w:val="404040"/>
                <w:sz w:val="24"/>
                <w:szCs w:val="24"/>
                <w:rtl w:val="0"/>
              </w:rPr>
              <w:t xml:space="preserve">National Student Speech Hearing and Language Association - Portland State University Chapter, Portland, Oregon</w:t>
            </w:r>
          </w:p>
          <w:p w:rsidR="00000000" w:rsidDel="00000000" w:rsidP="00000000" w:rsidRDefault="00000000" w:rsidRPr="00000000" w14:paraId="00000047">
            <w:pPr>
              <w:rPr>
                <w:b w:val="0"/>
                <w:color w:val="404040"/>
              </w:rPr>
            </w:pPr>
            <w:r w:rsidDel="00000000" w:rsidR="00000000" w:rsidRPr="00000000">
              <w:rPr>
                <w:b w:val="0"/>
                <w:color w:val="404040"/>
                <w:rtl w:val="0"/>
              </w:rPr>
              <w:t xml:space="preserve">Duties in the role included w</w:t>
            </w:r>
            <w:r w:rsidDel="00000000" w:rsidR="00000000" w:rsidRPr="00000000">
              <w:rPr>
                <w:b w:val="0"/>
                <w:color w:val="404040"/>
                <w:rtl w:val="0"/>
              </w:rPr>
              <w:t xml:space="preserve">orking 2-5 hours a week with other members of the Executive Board to provide numerous events and experiences for members of the Speech and Hearing Sciences department. This necessitated reaching out to community members to organize events and fundraisers and curating events to raise funds for department scholarships. During the COVID-19 pandemic I sought to find alternative ways to host events to raise money including hosting movies online and reaching out to restaurants to make previously scheduled events more in line with the social-distancing measures that were in place. Additionally I made myself available to offer support and guidance to students within the department.</w:t>
            </w:r>
          </w:p>
          <w:p w:rsidR="00000000" w:rsidDel="00000000" w:rsidP="00000000" w:rsidRDefault="00000000" w:rsidRPr="00000000" w14:paraId="00000048">
            <w:pPr>
              <w:spacing w:after="0" w:lineRule="auto"/>
              <w:rPr>
                <w:color w:val="404040"/>
                <w:sz w:val="24"/>
                <w:szCs w:val="24"/>
              </w:rPr>
            </w:pPr>
            <w:r w:rsidDel="00000000" w:rsidR="00000000" w:rsidRPr="00000000">
              <w:rPr>
                <w:rtl w:val="0"/>
              </w:rPr>
            </w:r>
          </w:p>
          <w:p w:rsidR="00000000" w:rsidDel="00000000" w:rsidP="00000000" w:rsidRDefault="00000000" w:rsidRPr="00000000" w14:paraId="00000049">
            <w:pPr>
              <w:spacing w:after="0" w:lineRule="auto"/>
              <w:rPr>
                <w:b w:val="0"/>
                <w:color w:val="595959"/>
              </w:rPr>
            </w:pPr>
            <w:r w:rsidDel="00000000" w:rsidR="00000000" w:rsidRPr="00000000">
              <w:rPr>
                <w:rtl w:val="0"/>
              </w:rPr>
            </w:r>
          </w:p>
        </w:tc>
      </w:tr>
      <w:tr>
        <w:tc>
          <w:tcPr>
            <w:tcBorders>
              <w:top w:color="ffffff" w:space="0" w:sz="6" w:val="single"/>
              <w:left w:color="ffffff" w:space="0" w:sz="24" w:val="single"/>
              <w:bottom w:color="ffffff" w:space="0" w:sz="6" w:val="single"/>
              <w:right w:color="ffffff" w:space="0" w:sz="6" w:val="single"/>
            </w:tcBorders>
          </w:tcPr>
          <w:p w:rsidR="00000000" w:rsidDel="00000000" w:rsidP="00000000" w:rsidRDefault="00000000" w:rsidRPr="00000000" w14:paraId="0000004A">
            <w:pPr>
              <w:spacing w:after="120" w:lineRule="auto"/>
              <w:ind w:left="180" w:right="144" w:firstLine="0"/>
              <w:rPr>
                <w:b w:val="0"/>
                <w:sz w:val="24"/>
                <w:szCs w:val="24"/>
              </w:rPr>
            </w:pPr>
            <w:r w:rsidDel="00000000" w:rsidR="00000000" w:rsidRPr="00000000">
              <w:rPr>
                <w:b w:val="0"/>
                <w:sz w:val="24"/>
                <w:szCs w:val="24"/>
                <w:rtl w:val="0"/>
              </w:rPr>
              <w:t xml:space="preserve">2015-2016</w:t>
            </w:r>
          </w:p>
        </w:tc>
        <w:tc>
          <w:tcPr>
            <w:tcBorders>
              <w:top w:color="ffffff" w:space="0" w:sz="6" w:val="single"/>
              <w:left w:color="ffffff" w:space="0" w:sz="6" w:val="single"/>
              <w:bottom w:color="ffffff" w:space="0" w:sz="6" w:val="single"/>
              <w:right w:color="ffffff" w:space="0" w:sz="24" w:val="single"/>
            </w:tcBorders>
          </w:tcPr>
          <w:p w:rsidR="00000000" w:rsidDel="00000000" w:rsidP="00000000" w:rsidRDefault="00000000" w:rsidRPr="00000000" w14:paraId="0000004B">
            <w:pPr>
              <w:spacing w:after="0" w:lineRule="auto"/>
              <w:rPr>
                <w:i w:val="1"/>
                <w:color w:val="404040"/>
              </w:rPr>
            </w:pPr>
            <w:r w:rsidDel="00000000" w:rsidR="00000000" w:rsidRPr="00000000">
              <w:rPr>
                <w:rtl w:val="0"/>
              </w:rPr>
              <w:t xml:space="preserve">Southwest Region Representative, </w:t>
            </w:r>
            <w:r w:rsidDel="00000000" w:rsidR="00000000" w:rsidRPr="00000000">
              <w:rPr>
                <w:i w:val="1"/>
                <w:color w:val="404040"/>
                <w:rtl w:val="0"/>
              </w:rPr>
              <w:t xml:space="preserve">North American Hardcourt Bicycle Polo Association, Santa Cruz, California</w:t>
            </w:r>
          </w:p>
          <w:p w:rsidR="00000000" w:rsidDel="00000000" w:rsidP="00000000" w:rsidRDefault="00000000" w:rsidRPr="00000000" w14:paraId="0000004C">
            <w:pPr>
              <w:spacing w:after="0" w:lineRule="auto"/>
              <w:rPr>
                <w:b w:val="0"/>
                <w:color w:val="434343"/>
              </w:rPr>
            </w:pPr>
            <w:r w:rsidDel="00000000" w:rsidR="00000000" w:rsidRPr="00000000">
              <w:rPr>
                <w:b w:val="0"/>
                <w:color w:val="434343"/>
                <w:rtl w:val="0"/>
              </w:rPr>
              <w:t xml:space="preserve">Major accomplishments include o</w:t>
            </w:r>
            <w:r w:rsidDel="00000000" w:rsidR="00000000" w:rsidRPr="00000000">
              <w:rPr>
                <w:b w:val="0"/>
                <w:color w:val="434343"/>
                <w:rtl w:val="0"/>
              </w:rPr>
              <w:t xml:space="preserve">rganizing the annual regional qualifying tournament for two years in a row. This included recruiting, training, and supporting officials at this and other major tournaments. Weekly duties included interfacing between city representatives and the national governing body to make decisions for funding, rules, tournament dates, and other issues relevant to the qualifying tournament as well as other major events. In addition I worked closely with city representatives to ensure that the diversity, equity, and inclusion ethics of the national governing body were being represented at the club level.</w:t>
            </w:r>
          </w:p>
          <w:p w:rsidR="00000000" w:rsidDel="00000000" w:rsidP="00000000" w:rsidRDefault="00000000" w:rsidRPr="00000000" w14:paraId="0000004D">
            <w:pPr>
              <w:spacing w:after="0" w:lineRule="auto"/>
              <w:rPr>
                <w:b w:val="0"/>
                <w:color w:val="434343"/>
              </w:rPr>
            </w:pPr>
            <w:r w:rsidDel="00000000" w:rsidR="00000000" w:rsidRPr="00000000">
              <w:rPr>
                <w:rtl w:val="0"/>
              </w:rPr>
            </w:r>
          </w:p>
        </w:tc>
      </w:tr>
      <w:tr>
        <w:tc>
          <w:tcPr>
            <w:tcBorders>
              <w:top w:color="ffffff" w:space="0" w:sz="6" w:val="single"/>
              <w:left w:color="ffffff" w:space="0" w:sz="24" w:val="single"/>
              <w:bottom w:color="ffffff" w:space="0" w:sz="24" w:val="single"/>
              <w:right w:color="ffffff" w:space="0" w:sz="6" w:val="single"/>
            </w:tcBorders>
          </w:tcPr>
          <w:p w:rsidR="00000000" w:rsidDel="00000000" w:rsidP="00000000" w:rsidRDefault="00000000" w:rsidRPr="00000000" w14:paraId="0000004E">
            <w:pPr>
              <w:spacing w:after="120" w:lineRule="auto"/>
              <w:ind w:left="180" w:right="144" w:firstLine="0"/>
              <w:rPr>
                <w:b w:val="0"/>
                <w:sz w:val="24"/>
                <w:szCs w:val="24"/>
              </w:rPr>
            </w:pPr>
            <w:bookmarkStart w:colFirst="0" w:colLast="0" w:name="_gjdgxs" w:id="0"/>
            <w:bookmarkEnd w:id="0"/>
            <w:r w:rsidDel="00000000" w:rsidR="00000000" w:rsidRPr="00000000">
              <w:rPr>
                <w:b w:val="0"/>
                <w:sz w:val="24"/>
                <w:szCs w:val="24"/>
                <w:rtl w:val="0"/>
              </w:rPr>
              <w:t xml:space="preserve">2013-2015</w:t>
            </w:r>
          </w:p>
        </w:tc>
        <w:tc>
          <w:tcPr>
            <w:tcBorders>
              <w:top w:color="ffffff" w:space="0" w:sz="6" w:val="single"/>
              <w:left w:color="ffffff" w:space="0" w:sz="6" w:val="single"/>
              <w:bottom w:color="ffffff" w:space="0" w:sz="24" w:val="single"/>
              <w:right w:color="ffffff" w:space="0" w:sz="24" w:val="single"/>
            </w:tcBorders>
          </w:tcPr>
          <w:p w:rsidR="00000000" w:rsidDel="00000000" w:rsidP="00000000" w:rsidRDefault="00000000" w:rsidRPr="00000000" w14:paraId="0000004F">
            <w:pPr>
              <w:rPr>
                <w:i w:val="1"/>
                <w:color w:val="404040"/>
                <w:sz w:val="24"/>
                <w:szCs w:val="24"/>
              </w:rPr>
            </w:pPr>
            <w:r w:rsidDel="00000000" w:rsidR="00000000" w:rsidRPr="00000000">
              <w:rPr>
                <w:sz w:val="24"/>
                <w:szCs w:val="24"/>
                <w:rtl w:val="0"/>
              </w:rPr>
              <w:t xml:space="preserve">Board Member,</w:t>
            </w:r>
            <w:r w:rsidDel="00000000" w:rsidR="00000000" w:rsidRPr="00000000">
              <w:rPr>
                <w:color w:val="404040"/>
                <w:sz w:val="24"/>
                <w:szCs w:val="24"/>
                <w:rtl w:val="0"/>
              </w:rPr>
              <w:t xml:space="preserve"> </w:t>
            </w:r>
            <w:r w:rsidDel="00000000" w:rsidR="00000000" w:rsidRPr="00000000">
              <w:rPr>
                <w:i w:val="1"/>
                <w:color w:val="404040"/>
                <w:sz w:val="24"/>
                <w:szCs w:val="24"/>
                <w:rtl w:val="0"/>
              </w:rPr>
              <w:t xml:space="preserve">Santa Cruz Hub for Sustainable Living, Santa Cruz, California</w:t>
            </w:r>
          </w:p>
          <w:p w:rsidR="00000000" w:rsidDel="00000000" w:rsidP="00000000" w:rsidRDefault="00000000" w:rsidRPr="00000000" w14:paraId="00000050">
            <w:pPr>
              <w:spacing w:after="0" w:lineRule="auto"/>
              <w:rPr>
                <w:b w:val="0"/>
                <w:color w:val="434343"/>
              </w:rPr>
            </w:pPr>
            <w:r w:rsidDel="00000000" w:rsidR="00000000" w:rsidRPr="00000000">
              <w:rPr>
                <w:b w:val="0"/>
                <w:color w:val="434343"/>
                <w:rtl w:val="0"/>
              </w:rPr>
              <w:t xml:space="preserve">Duties in this role included attending bi-monthly board meetings and acting as a liaison between the board and individual project organizations under the Hub. During meetings responsibilities included keeping meeting minutes and transcribing them into the master document. General responsibilities included engaging in fundraising planning and grant writing. </w:t>
            </w:r>
          </w:p>
          <w:p w:rsidR="00000000" w:rsidDel="00000000" w:rsidP="00000000" w:rsidRDefault="00000000" w:rsidRPr="00000000" w14:paraId="00000051">
            <w:pPr>
              <w:spacing w:after="0" w:lineRule="auto"/>
              <w:rPr>
                <w:b w:val="0"/>
                <w:color w:val="434343"/>
              </w:rPr>
            </w:pPr>
            <w:r w:rsidDel="00000000" w:rsidR="00000000" w:rsidRPr="00000000">
              <w:rPr>
                <w:rtl w:val="0"/>
              </w:rPr>
            </w:r>
          </w:p>
          <w:p w:rsidR="00000000" w:rsidDel="00000000" w:rsidP="00000000" w:rsidRDefault="00000000" w:rsidRPr="00000000" w14:paraId="00000052">
            <w:pPr>
              <w:rPr>
                <w:b w:val="0"/>
                <w:color w:val="595959"/>
              </w:rPr>
            </w:pPr>
            <w:r w:rsidDel="00000000" w:rsidR="00000000" w:rsidRPr="00000000">
              <w:rPr>
                <w:rtl w:val="0"/>
              </w:rPr>
            </w:r>
          </w:p>
        </w:tc>
      </w:tr>
    </w:tbl>
    <w:p w:rsidR="00000000" w:rsidDel="00000000" w:rsidP="00000000" w:rsidRDefault="00000000" w:rsidRPr="00000000" w14:paraId="00000053">
      <w:pPr>
        <w:pStyle w:val="Title"/>
        <w:rPr/>
      </w:pPr>
      <w:bookmarkStart w:colFirst="0" w:colLast="0" w:name="_lcc0focv0b3v" w:id="2"/>
      <w:bookmarkEnd w:id="2"/>
      <w:r w:rsidDel="00000000" w:rsidR="00000000" w:rsidRPr="00000000">
        <w:rPr>
          <w:rtl w:val="0"/>
        </w:rPr>
      </w:r>
    </w:p>
    <w:sectPr>
      <w:footerReference r:id="rId7" w:type="defaul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595959"/>
        <w:sz w:val="22"/>
        <w:szCs w:val="22"/>
        <w:u w:val="none"/>
        <w:shd w:fill="auto" w:val="clear"/>
        <w:vertAlign w:val="baseline"/>
      </w:rPr>
    </w:pPr>
    <w:r w:rsidDel="00000000" w:rsidR="00000000" w:rsidRPr="00000000">
      <w:rPr>
        <w:rFonts w:ascii="Calibri" w:cs="Calibri" w:eastAsia="Calibri" w:hAnsi="Calibri"/>
        <w:b w:val="0"/>
        <w:i w:val="0"/>
        <w:smallCaps w:val="0"/>
        <w:strike w:val="0"/>
        <w:color w:val="595959"/>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595959"/>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1" w:hanging="101"/>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95959"/>
        <w:sz w:val="22"/>
        <w:szCs w:val="22"/>
        <w:lang w:val="en-US"/>
      </w:rPr>
    </w:rPrDefault>
    <w:pPrDefault>
      <w:pPr>
        <w:spacing w:after="100" w:lineRule="auto"/>
        <w:ind w:right="57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595959" w:space="1" w:sz="4" w:val="single"/>
      </w:pBdr>
      <w:spacing w:after="0" w:before="640" w:line="240" w:lineRule="auto"/>
      <w:ind w:right="0"/>
    </w:pPr>
    <w:rPr>
      <w:rFonts w:ascii="Calibri" w:cs="Calibri" w:eastAsia="Calibri" w:hAnsi="Calibri"/>
      <w:smallCaps w:val="1"/>
      <w:sz w:val="26"/>
      <w:szCs w:val="26"/>
    </w:rPr>
  </w:style>
  <w:style w:type="paragraph" w:styleId="Heading2">
    <w:name w:val="heading 2"/>
    <w:basedOn w:val="Normal"/>
    <w:next w:val="Normal"/>
    <w:pPr>
      <w:keepNext w:val="1"/>
      <w:keepLines w:val="1"/>
      <w:spacing w:after="120" w:lineRule="auto"/>
    </w:pPr>
    <w:rPr>
      <w:rFonts w:ascii="Calibri" w:cs="Calibri" w:eastAsia="Calibri" w:hAnsi="Calibri"/>
      <w:color w:val="000000"/>
    </w:rPr>
  </w:style>
  <w:style w:type="paragraph" w:styleId="Heading3">
    <w:name w:val="heading 3"/>
    <w:basedOn w:val="Normal"/>
    <w:next w:val="Normal"/>
    <w:pPr>
      <w:keepNext w:val="1"/>
      <w:keepLines w:val="1"/>
      <w:spacing w:after="0" w:before="40" w:lineRule="auto"/>
    </w:pPr>
    <w:rPr>
      <w:rFonts w:ascii="Calibri" w:cs="Calibri" w:eastAsia="Calibri" w:hAnsi="Calibri"/>
      <w:color w:val="6e6e6e"/>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e6e6e"/>
    </w:rPr>
  </w:style>
  <w:style w:type="paragraph" w:styleId="Heading5">
    <w:name w:val="heading 5"/>
    <w:basedOn w:val="Normal"/>
    <w:next w:val="Normal"/>
    <w:pPr>
      <w:keepNext w:val="1"/>
      <w:keepLines w:val="1"/>
      <w:spacing w:after="0" w:before="40" w:lineRule="auto"/>
    </w:pPr>
    <w:rPr>
      <w:rFonts w:ascii="Calibri" w:cs="Calibri" w:eastAsia="Calibri" w:hAnsi="Calibri"/>
      <w:color w:val="6e6e6e"/>
    </w:rPr>
  </w:style>
  <w:style w:type="paragraph" w:styleId="Heading6">
    <w:name w:val="heading 6"/>
    <w:basedOn w:val="Normal"/>
    <w:next w:val="Normal"/>
    <w:pPr>
      <w:keepNext w:val="1"/>
      <w:keepLines w:val="1"/>
      <w:spacing w:after="0" w:before="40" w:lineRule="auto"/>
    </w:pPr>
    <w:rPr>
      <w:rFonts w:ascii="Calibri" w:cs="Calibri" w:eastAsia="Calibri" w:hAnsi="Calibri"/>
      <w:color w:val="6e6e6e"/>
    </w:rPr>
  </w:style>
  <w:style w:type="paragraph" w:styleId="Title">
    <w:name w:val="Title"/>
    <w:basedOn w:val="Normal"/>
    <w:next w:val="Normal"/>
    <w:pPr>
      <w:pBdr>
        <w:bottom w:color="595959" w:space="1" w:sz="4" w:val="single"/>
      </w:pBdr>
      <w:spacing w:after="0" w:line="240" w:lineRule="auto"/>
      <w:ind w:right="0"/>
    </w:pPr>
    <w:rPr>
      <w:rFonts w:ascii="Calibri" w:cs="Calibri" w:eastAsia="Calibri" w:hAnsi="Calibri"/>
      <w:smallCaps w:val="1"/>
      <w:color w:val="595959"/>
      <w:sz w:val="64"/>
      <w:szCs w:val="64"/>
    </w:rPr>
  </w:style>
  <w:style w:type="paragraph" w:styleId="Subtitle">
    <w:name w:val="Subtitle"/>
    <w:basedOn w:val="Normal"/>
    <w:next w:val="Normal"/>
    <w:pPr>
      <w:spacing w:after="160" w:lineRule="auto"/>
    </w:pPr>
    <w:rPr>
      <w:color w:val="5a5a5a"/>
    </w:rPr>
  </w:style>
  <w:style w:type="table" w:styleId="Table1">
    <w:basedOn w:val="TableNormal"/>
    <w:pPr>
      <w:spacing w:after="0" w:lineRule="auto"/>
    </w:pPr>
    <w:rPr>
      <w:rFonts w:ascii="Calibri" w:cs="Calibri" w:eastAsia="Calibri" w:hAnsi="Calibri"/>
      <w:b w:val="1"/>
      <w:color w:val="000000"/>
    </w:rPr>
    <w:tblPr>
      <w:tblStyleRowBandSize w:val="1"/>
      <w:tblStyleColBandSize w:val="1"/>
      <w:tblCellMar>
        <w:top w:w="0.0" w:type="dxa"/>
        <w:left w:w="720.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 w:type="table" w:styleId="Table2">
    <w:basedOn w:val="TableNormal"/>
    <w:pPr>
      <w:spacing w:after="0" w:lineRule="auto"/>
    </w:pPr>
    <w:rPr>
      <w:rFonts w:ascii="Calibri" w:cs="Calibri" w:eastAsia="Calibri" w:hAnsi="Calibri"/>
      <w:b w:val="1"/>
      <w:color w:val="000000"/>
    </w:rPr>
    <w:tblPr>
      <w:tblStyleRowBandSize w:val="1"/>
      <w:tblStyleColBandSize w:val="1"/>
      <w:tblCellMar>
        <w:top w:w="0.0" w:type="dxa"/>
        <w:left w:w="720.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 w:type="table" w:styleId="Table3">
    <w:basedOn w:val="TableNormal"/>
    <w:pPr>
      <w:spacing w:after="0" w:lineRule="auto"/>
    </w:pPr>
    <w:rPr>
      <w:rFonts w:ascii="Calibri" w:cs="Calibri" w:eastAsia="Calibri" w:hAnsi="Calibri"/>
      <w:b w:val="1"/>
      <w:color w:val="000000"/>
    </w:rPr>
    <w:tblPr>
      <w:tblStyleRowBandSize w:val="1"/>
      <w:tblStyleColBandSize w:val="1"/>
      <w:tblCellMar>
        <w:top w:w="0.0" w:type="dxa"/>
        <w:left w:w="720.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 w:type="table" w:styleId="Table4">
    <w:basedOn w:val="TableNormal"/>
    <w:pPr>
      <w:spacing w:after="0" w:lineRule="auto"/>
    </w:pPr>
    <w:rPr>
      <w:rFonts w:ascii="Calibri" w:cs="Calibri" w:eastAsia="Calibri" w:hAnsi="Calibri"/>
      <w:b w:val="1"/>
      <w:color w:val="000000"/>
    </w:rPr>
    <w:tblPr>
      <w:tblStyleRowBandSize w:val="1"/>
      <w:tblStyleColBandSize w:val="1"/>
      <w:tblCellMar>
        <w:top w:w="0.0" w:type="dxa"/>
        <w:left w:w="115.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 w:type="table" w:styleId="Table5">
    <w:basedOn w:val="TableNormal"/>
    <w:pPr>
      <w:spacing w:after="0" w:lineRule="auto"/>
    </w:pPr>
    <w:rPr>
      <w:rFonts w:ascii="Calibri" w:cs="Calibri" w:eastAsia="Calibri" w:hAnsi="Calibri"/>
      <w:b w:val="1"/>
      <w:color w:val="000000"/>
    </w:rPr>
    <w:tblPr>
      <w:tblStyleRowBandSize w:val="1"/>
      <w:tblStyleColBandSize w:val="1"/>
      <w:tblCellMar>
        <w:top w:w="0.0" w:type="dxa"/>
        <w:left w:w="115.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 w:type="table" w:styleId="Table6">
    <w:basedOn w:val="TableNormal"/>
    <w:pPr>
      <w:spacing w:after="0" w:lineRule="auto"/>
    </w:pPr>
    <w:rPr>
      <w:rFonts w:ascii="Calibri" w:cs="Calibri" w:eastAsia="Calibri" w:hAnsi="Calibri"/>
      <w:b w:val="1"/>
      <w:color w:val="000000"/>
    </w:rPr>
    <w:tblPr>
      <w:tblStyleRowBandSize w:val="1"/>
      <w:tblStyleColBandSize w:val="1"/>
      <w:tblCellMar>
        <w:top w:w="0.0" w:type="dxa"/>
        <w:left w:w="115.0" w:type="dxa"/>
        <w:bottom w:w="0.0" w:type="dxa"/>
        <w:right w:w="115.0" w:type="dxa"/>
      </w:tblCellMar>
    </w:tblPr>
    <w:tcPr>
      <w:shd w:fill="auto" w:val="clear"/>
    </w:tcPr>
    <w:tblStylePr w:type="firstRow">
      <w:pPr>
        <w:spacing w:line="240" w:lineRule="auto"/>
      </w:pPr>
      <w:rPr>
        <w:sz w:val="22"/>
        <w:szCs w:val="22"/>
      </w:rPr>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ilbrowy@pdx.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